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2A" w:rsidRPr="009B6A2B" w:rsidRDefault="009B6A2B" w:rsidP="0094244A">
      <w:pPr>
        <w:ind w:left="1134" w:right="1127"/>
        <w:rPr>
          <w:b/>
          <w:sz w:val="28"/>
        </w:rPr>
      </w:pPr>
      <w:r w:rsidRPr="009B6A2B">
        <w:rPr>
          <w:b/>
          <w:sz w:val="28"/>
        </w:rPr>
        <w:t>CIRCOLARE  35/19                                                                        Roma, 03/04/2019</w:t>
      </w:r>
    </w:p>
    <w:p w:rsidR="009B6A2B" w:rsidRPr="009B6A2B" w:rsidRDefault="009B6A2B" w:rsidP="009B6A2B">
      <w:pPr>
        <w:ind w:left="1134" w:right="1127"/>
        <w:jc w:val="both"/>
        <w:rPr>
          <w:b/>
          <w:sz w:val="28"/>
        </w:rPr>
      </w:pPr>
    </w:p>
    <w:p w:rsidR="009B6A2B" w:rsidRDefault="009B6A2B" w:rsidP="009B6A2B">
      <w:pPr>
        <w:ind w:left="1134" w:right="1127"/>
        <w:jc w:val="both"/>
      </w:pPr>
    </w:p>
    <w:p w:rsidR="009B6A2B" w:rsidRPr="009B6A2B" w:rsidRDefault="009B6A2B" w:rsidP="009B6A2B">
      <w:pPr>
        <w:ind w:left="1134" w:right="1127"/>
        <w:jc w:val="both"/>
        <w:rPr>
          <w:b/>
          <w:sz w:val="28"/>
        </w:rPr>
      </w:pPr>
      <w:r w:rsidRPr="009B6A2B">
        <w:rPr>
          <w:b/>
          <w:sz w:val="28"/>
        </w:rPr>
        <w:t xml:space="preserve">Trasporto di merci: le Organizzazioni del trasporto merci convocate al </w:t>
      </w:r>
      <w:proofErr w:type="spellStart"/>
      <w:r w:rsidRPr="009B6A2B">
        <w:rPr>
          <w:b/>
          <w:sz w:val="28"/>
        </w:rPr>
        <w:t>Mit</w:t>
      </w:r>
      <w:proofErr w:type="spellEnd"/>
      <w:r w:rsidRPr="009B6A2B">
        <w:rPr>
          <w:b/>
          <w:sz w:val="28"/>
        </w:rPr>
        <w:t xml:space="preserve"> per la ripartizione delle risorse dedicate al settore</w:t>
      </w:r>
    </w:p>
    <w:p w:rsidR="009B6A2B" w:rsidRDefault="009B6A2B" w:rsidP="009B6A2B">
      <w:pPr>
        <w:ind w:left="1134" w:right="1127"/>
        <w:jc w:val="both"/>
      </w:pPr>
    </w:p>
    <w:p w:rsidR="009B6A2B" w:rsidRDefault="009B6A2B" w:rsidP="009B6A2B">
      <w:pPr>
        <w:ind w:left="1134" w:right="1127"/>
        <w:jc w:val="both"/>
      </w:pPr>
      <w:r>
        <w:t>Si è svolto il 2 aprile scorso l'incontro tra i rappresentanti del Governo e delle principali Associazioni di categoria dell'autotrasporto _ tra cui SNA CASARTIGIANI _  sul tema delle modalità di ripartizione delle risorse assegnate al comparto dalla Legge di Bilancio 2019 pari a 240 milioni di euro per ciascun anno del triennio 2019-2021 da destinare a SSN – spese non documentabili – rimborsi pedaggi autostradali – investimenti – formazione.</w:t>
      </w:r>
    </w:p>
    <w:p w:rsidR="009B6A2B" w:rsidRDefault="009B6A2B" w:rsidP="009B6A2B">
      <w:pPr>
        <w:ind w:left="1134" w:right="1127"/>
        <w:jc w:val="both"/>
      </w:pPr>
      <w:r>
        <w:t xml:space="preserve">La convocazione del tavolo è giunta dopo che nelle trascorse settimane le Associazioni di categoria avevano lamentato l'insufficienza della dotazione per la copertura totale di due voci fondamentali come le "deduzioni forfettarie" ed i "rimborsi pedaggi" ed era pervenuta una proposta dagli uffici del </w:t>
      </w:r>
      <w:proofErr w:type="spellStart"/>
      <w:r>
        <w:t>Mit</w:t>
      </w:r>
      <w:proofErr w:type="spellEnd"/>
      <w:r>
        <w:t xml:space="preserve"> con un'ipotesi di ripartizione che, a fronte dei sacrifici fatti dalla categoria su altri capitoli per aumentare la dotazione delle due misure principali, penalizzava enormemente la dotazione delle deduzioni forfettarie delle spese non documentate. </w:t>
      </w:r>
    </w:p>
    <w:p w:rsidR="009B6A2B" w:rsidRDefault="009B6A2B" w:rsidP="009B6A2B">
      <w:pPr>
        <w:ind w:left="1134" w:right="1127"/>
        <w:jc w:val="both"/>
      </w:pPr>
    </w:p>
    <w:p w:rsidR="009B6A2B" w:rsidRDefault="009B6A2B" w:rsidP="009B6A2B">
      <w:pPr>
        <w:ind w:left="1134" w:right="1127"/>
        <w:jc w:val="both"/>
      </w:pPr>
      <w:r>
        <w:t xml:space="preserve">Il prezioso lavoro di sensibilizzazione effettuato in questi giorni dalle principali associazioni del trasporto per rivedere la sopra richiamata proposta di ripartizione _ insieme evidentemente alla volontà del Governo di recepire le istanze della categoria _ ha consentito di trovare una soluzione attraverso il via libera del Ministero dell'Economia ad ulteriori 100 milioni di euro destinati al Fondo pluriennale per il rinnovo del parco veicolare merci, che ha permesso di aumentare in maniera consistente la dotazione complessiva della voce "investimenti" per l'acquisto di veicoli a basse emissioni e più sicuri. </w:t>
      </w:r>
    </w:p>
    <w:p w:rsidR="009B6A2B" w:rsidRDefault="009B6A2B" w:rsidP="009B6A2B">
      <w:pPr>
        <w:ind w:left="1134" w:right="1127"/>
        <w:jc w:val="both"/>
      </w:pPr>
    </w:p>
    <w:p w:rsidR="009B6A2B" w:rsidRDefault="009B6A2B" w:rsidP="009B6A2B">
      <w:pPr>
        <w:ind w:left="1134" w:right="1127"/>
        <w:jc w:val="both"/>
      </w:pPr>
      <w:r>
        <w:t xml:space="preserve">Alla luce di quanto sopra la nuova ripartizione decisa dal Ministro Danilo </w:t>
      </w:r>
      <w:proofErr w:type="spellStart"/>
      <w:r>
        <w:t>Toninelli</w:t>
      </w:r>
      <w:proofErr w:type="spellEnd"/>
      <w:r>
        <w:t xml:space="preserve"> e dal Viceministro Edoardo </w:t>
      </w:r>
      <w:proofErr w:type="spellStart"/>
      <w:r>
        <w:t>Rixi</w:t>
      </w:r>
      <w:proofErr w:type="spellEnd"/>
      <w:r>
        <w:t>, per ciascun anno del triennio 2019-2021, è la seguente:</w:t>
      </w:r>
    </w:p>
    <w:p w:rsidR="009B6A2B" w:rsidRDefault="009B6A2B" w:rsidP="009B6A2B">
      <w:pPr>
        <w:ind w:left="1134" w:right="1127"/>
        <w:jc w:val="both"/>
      </w:pPr>
      <w:r>
        <w:t></w:t>
      </w:r>
      <w:r>
        <w:tab/>
        <w:t xml:space="preserve">Rimborsi pedaggi autostradali : 140 milioni </w:t>
      </w:r>
    </w:p>
    <w:p w:rsidR="009B6A2B" w:rsidRDefault="009B6A2B" w:rsidP="009B6A2B">
      <w:pPr>
        <w:ind w:left="1134" w:right="1127"/>
        <w:jc w:val="both"/>
      </w:pPr>
      <w:r>
        <w:t></w:t>
      </w:r>
      <w:r>
        <w:tab/>
        <w:t xml:space="preserve">Deduzioni forfettarie : 70 milioni </w:t>
      </w:r>
    </w:p>
    <w:p w:rsidR="009B6A2B" w:rsidRDefault="009B6A2B" w:rsidP="009B6A2B">
      <w:pPr>
        <w:ind w:left="1134" w:right="1127"/>
        <w:jc w:val="both"/>
      </w:pPr>
      <w:r>
        <w:t></w:t>
      </w:r>
      <w:r>
        <w:tab/>
        <w:t xml:space="preserve">Investimenti : 25 milioni </w:t>
      </w:r>
    </w:p>
    <w:p w:rsidR="009B6A2B" w:rsidRDefault="009B6A2B" w:rsidP="009B6A2B">
      <w:pPr>
        <w:ind w:left="1134" w:right="1127"/>
        <w:jc w:val="both"/>
      </w:pPr>
      <w:r>
        <w:t></w:t>
      </w:r>
      <w:r>
        <w:tab/>
        <w:t xml:space="preserve">Formazione : 5 milioni </w:t>
      </w:r>
    </w:p>
    <w:p w:rsidR="009B6A2B" w:rsidRDefault="009B6A2B" w:rsidP="009B6A2B">
      <w:pPr>
        <w:ind w:left="1134" w:right="1127"/>
        <w:jc w:val="both"/>
      </w:pPr>
    </w:p>
    <w:p w:rsidR="00A4332A" w:rsidRPr="0066425F" w:rsidRDefault="009B6A2B" w:rsidP="00A4332A">
      <w:pPr>
        <w:ind w:left="1134" w:right="1127"/>
        <w:jc w:val="both"/>
      </w:pPr>
      <w:r>
        <w:t xml:space="preserve">I tecnici del Ministero hanno inoltre dichiarato che per l’anno 2019 (redditi 2018), sono già stati individuati ulteriori 20 milioni di euro da destinare alle deduzioni forfetarie per garantire, anche per l'anno 2019, gli importi in continuità con quanto deciso l'anno scorso dal Governo a tutela di migliaia di micro e piccole imprese in contabilità semplificata (euro 51,00). Tale appostamento sarà inserito nel primo provvedimento legislativo utile. </w:t>
      </w:r>
      <w:bookmarkStart w:id="0" w:name="_GoBack"/>
      <w:bookmarkEnd w:id="0"/>
      <w:r w:rsidR="00A4332A">
        <w:tab/>
      </w:r>
      <w:r w:rsidR="00A4332A">
        <w:tab/>
      </w:r>
      <w:r w:rsidR="00A4332A">
        <w:tab/>
      </w:r>
      <w:r w:rsidR="00A4332A">
        <w:tab/>
      </w:r>
      <w:r w:rsidR="00A4332A">
        <w:tab/>
      </w:r>
    </w:p>
    <w:sectPr w:rsidR="00A4332A" w:rsidRPr="0066425F" w:rsidSect="009B6A2B">
      <w:headerReference w:type="default" r:id="rId7"/>
      <w:pgSz w:w="11900" w:h="16840"/>
      <w:pgMar w:top="2977" w:right="0" w:bottom="2477"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7B" w:rsidRDefault="00623C7B" w:rsidP="00462662">
      <w:r>
        <w:separator/>
      </w:r>
    </w:p>
  </w:endnote>
  <w:endnote w:type="continuationSeparator" w:id="0">
    <w:p w:rsidR="00623C7B" w:rsidRDefault="00623C7B" w:rsidP="0046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Condensed">
    <w:charset w:val="00"/>
    <w:family w:val="auto"/>
    <w:pitch w:val="variable"/>
    <w:sig w:usb0="800000AF"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7B" w:rsidRDefault="00623C7B" w:rsidP="00462662">
      <w:r>
        <w:separator/>
      </w:r>
    </w:p>
  </w:footnote>
  <w:footnote w:type="continuationSeparator" w:id="0">
    <w:p w:rsidR="00623C7B" w:rsidRDefault="00623C7B" w:rsidP="0046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62" w:rsidRDefault="00462662" w:rsidP="00462662">
    <w:pPr>
      <w:pStyle w:val="Intestazione"/>
      <w:tabs>
        <w:tab w:val="clear" w:pos="9638"/>
        <w:tab w:val="right" w:pos="9632"/>
      </w:tabs>
      <w:ind w:right="-1134"/>
    </w:pPr>
    <w:r>
      <w:rPr>
        <w:noProof/>
        <w:lang w:eastAsia="it-IT"/>
      </w:rPr>
      <w:drawing>
        <wp:inline distT="0" distB="0" distL="0" distR="0" wp14:anchorId="79C26F3C" wp14:editId="6A5766FC">
          <wp:extent cx="7556500" cy="1866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idente_up.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866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62"/>
    <w:rsid w:val="001D5BA3"/>
    <w:rsid w:val="003F779A"/>
    <w:rsid w:val="004300A5"/>
    <w:rsid w:val="00462662"/>
    <w:rsid w:val="0052199B"/>
    <w:rsid w:val="00623C7B"/>
    <w:rsid w:val="006522DD"/>
    <w:rsid w:val="0066425F"/>
    <w:rsid w:val="007B39D8"/>
    <w:rsid w:val="0094244A"/>
    <w:rsid w:val="009B6A2B"/>
    <w:rsid w:val="00A4332A"/>
    <w:rsid w:val="00AC3A52"/>
    <w:rsid w:val="00AD1041"/>
    <w:rsid w:val="00B26C5C"/>
    <w:rsid w:val="00B64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2662"/>
    <w:pPr>
      <w:tabs>
        <w:tab w:val="center" w:pos="4819"/>
        <w:tab w:val="right" w:pos="9638"/>
      </w:tabs>
    </w:pPr>
  </w:style>
  <w:style w:type="character" w:customStyle="1" w:styleId="IntestazioneCarattere">
    <w:name w:val="Intestazione Carattere"/>
    <w:basedOn w:val="Carpredefinitoparagrafo"/>
    <w:link w:val="Intestazione"/>
    <w:uiPriority w:val="99"/>
    <w:rsid w:val="00462662"/>
  </w:style>
  <w:style w:type="paragraph" w:styleId="Pidipagina">
    <w:name w:val="footer"/>
    <w:basedOn w:val="Normale"/>
    <w:link w:val="PidipaginaCarattere"/>
    <w:uiPriority w:val="99"/>
    <w:unhideWhenUsed/>
    <w:rsid w:val="00462662"/>
    <w:pPr>
      <w:tabs>
        <w:tab w:val="center" w:pos="4819"/>
        <w:tab w:val="right" w:pos="9638"/>
      </w:tabs>
    </w:pPr>
  </w:style>
  <w:style w:type="character" w:customStyle="1" w:styleId="PidipaginaCarattere">
    <w:name w:val="Piè di pagina Carattere"/>
    <w:basedOn w:val="Carpredefinitoparagrafo"/>
    <w:link w:val="Pidipagina"/>
    <w:uiPriority w:val="99"/>
    <w:rsid w:val="00462662"/>
  </w:style>
  <w:style w:type="paragraph" w:customStyle="1" w:styleId="Paragrafobase">
    <w:name w:val="[Paragrafo base]"/>
    <w:basedOn w:val="Normale"/>
    <w:uiPriority w:val="99"/>
    <w:rsid w:val="00462662"/>
    <w:pPr>
      <w:widowControl w:val="0"/>
      <w:autoSpaceDE w:val="0"/>
      <w:autoSpaceDN w:val="0"/>
      <w:adjustRightInd w:val="0"/>
      <w:spacing w:line="288" w:lineRule="auto"/>
      <w:textAlignment w:val="center"/>
    </w:pPr>
    <w:rPr>
      <w:rFonts w:ascii="HelveticaNeue-Condensed" w:hAnsi="HelveticaNeue-Condensed" w:cs="HelveticaNeue-Condensed"/>
      <w:color w:val="000000"/>
      <w:sz w:val="20"/>
      <w:szCs w:val="20"/>
    </w:rPr>
  </w:style>
  <w:style w:type="paragraph" w:styleId="Testofumetto">
    <w:name w:val="Balloon Text"/>
    <w:basedOn w:val="Normale"/>
    <w:link w:val="TestofumettoCarattere"/>
    <w:uiPriority w:val="99"/>
    <w:semiHidden/>
    <w:unhideWhenUsed/>
    <w:rsid w:val="00B26C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6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2662"/>
    <w:pPr>
      <w:tabs>
        <w:tab w:val="center" w:pos="4819"/>
        <w:tab w:val="right" w:pos="9638"/>
      </w:tabs>
    </w:pPr>
  </w:style>
  <w:style w:type="character" w:customStyle="1" w:styleId="IntestazioneCarattere">
    <w:name w:val="Intestazione Carattere"/>
    <w:basedOn w:val="Carpredefinitoparagrafo"/>
    <w:link w:val="Intestazione"/>
    <w:uiPriority w:val="99"/>
    <w:rsid w:val="00462662"/>
  </w:style>
  <w:style w:type="paragraph" w:styleId="Pidipagina">
    <w:name w:val="footer"/>
    <w:basedOn w:val="Normale"/>
    <w:link w:val="PidipaginaCarattere"/>
    <w:uiPriority w:val="99"/>
    <w:unhideWhenUsed/>
    <w:rsid w:val="00462662"/>
    <w:pPr>
      <w:tabs>
        <w:tab w:val="center" w:pos="4819"/>
        <w:tab w:val="right" w:pos="9638"/>
      </w:tabs>
    </w:pPr>
  </w:style>
  <w:style w:type="character" w:customStyle="1" w:styleId="PidipaginaCarattere">
    <w:name w:val="Piè di pagina Carattere"/>
    <w:basedOn w:val="Carpredefinitoparagrafo"/>
    <w:link w:val="Pidipagina"/>
    <w:uiPriority w:val="99"/>
    <w:rsid w:val="00462662"/>
  </w:style>
  <w:style w:type="paragraph" w:customStyle="1" w:styleId="Paragrafobase">
    <w:name w:val="[Paragrafo base]"/>
    <w:basedOn w:val="Normale"/>
    <w:uiPriority w:val="99"/>
    <w:rsid w:val="00462662"/>
    <w:pPr>
      <w:widowControl w:val="0"/>
      <w:autoSpaceDE w:val="0"/>
      <w:autoSpaceDN w:val="0"/>
      <w:adjustRightInd w:val="0"/>
      <w:spacing w:line="288" w:lineRule="auto"/>
      <w:textAlignment w:val="center"/>
    </w:pPr>
    <w:rPr>
      <w:rFonts w:ascii="HelveticaNeue-Condensed" w:hAnsi="HelveticaNeue-Condensed" w:cs="HelveticaNeue-Condensed"/>
      <w:color w:val="000000"/>
      <w:sz w:val="20"/>
      <w:szCs w:val="20"/>
    </w:rPr>
  </w:style>
  <w:style w:type="paragraph" w:styleId="Testofumetto">
    <w:name w:val="Balloon Text"/>
    <w:basedOn w:val="Normale"/>
    <w:link w:val="TestofumettoCarattere"/>
    <w:uiPriority w:val="99"/>
    <w:semiHidden/>
    <w:unhideWhenUsed/>
    <w:rsid w:val="00B26C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6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servizio posta</cp:lastModifiedBy>
  <cp:revision>2</cp:revision>
  <dcterms:created xsi:type="dcterms:W3CDTF">2019-04-03T15:51:00Z</dcterms:created>
  <dcterms:modified xsi:type="dcterms:W3CDTF">2019-04-03T15:51:00Z</dcterms:modified>
</cp:coreProperties>
</file>